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034" w:type="dxa"/>
        <w:tblLook w:val="04A0" w:firstRow="1" w:lastRow="0" w:firstColumn="1" w:lastColumn="0" w:noHBand="0" w:noVBand="1"/>
      </w:tblPr>
      <w:tblGrid>
        <w:gridCol w:w="851"/>
        <w:gridCol w:w="1843"/>
        <w:gridCol w:w="9355"/>
        <w:gridCol w:w="1985"/>
      </w:tblGrid>
      <w:tr w:rsidR="00CC38EE" w14:paraId="23B125DE" w14:textId="77777777">
        <w:trPr>
          <w:trHeight w:val="602"/>
        </w:trPr>
        <w:tc>
          <w:tcPr>
            <w:tcW w:w="14034" w:type="dxa"/>
            <w:gridSpan w:val="4"/>
            <w:tcBorders>
              <w:top w:val="nil"/>
              <w:left w:val="nil"/>
              <w:bottom w:val="single" w:sz="4" w:space="0" w:color="auto"/>
              <w:right w:val="nil"/>
            </w:tcBorders>
            <w:noWrap/>
            <w:vAlign w:val="center"/>
          </w:tcPr>
          <w:p w14:paraId="05B9A3C4" w14:textId="77777777" w:rsidR="00CC38EE" w:rsidRDefault="00000000">
            <w:pPr>
              <w:widowControl/>
              <w:jc w:val="left"/>
              <w:rPr>
                <w:rFonts w:ascii="黑体" w:eastAsia="黑体" w:hAnsi="黑体" w:cs="宋体" w:hint="eastAsia"/>
                <w:color w:val="000000"/>
                <w:kern w:val="0"/>
                <w:sz w:val="32"/>
                <w:szCs w:val="32"/>
              </w:rPr>
            </w:pPr>
            <w:r>
              <w:rPr>
                <w:rFonts w:ascii="黑体" w:eastAsia="黑体" w:hAnsi="黑体" w:cs="宋体" w:hint="eastAsia"/>
                <w:color w:val="000000"/>
                <w:kern w:val="0"/>
                <w:sz w:val="32"/>
                <w:szCs w:val="32"/>
              </w:rPr>
              <w:t>附件1</w:t>
            </w:r>
          </w:p>
          <w:p w14:paraId="5ACA732B" w14:textId="77777777" w:rsidR="00CC38EE" w:rsidRDefault="00000000">
            <w:pPr>
              <w:widowControl/>
              <w:jc w:val="center"/>
              <w:rPr>
                <w:rFonts w:ascii="黑体" w:eastAsia="黑体" w:hAnsi="黑体" w:cs="宋体" w:hint="eastAsia"/>
                <w:color w:val="000000"/>
                <w:kern w:val="0"/>
                <w:sz w:val="32"/>
                <w:szCs w:val="32"/>
              </w:rPr>
            </w:pPr>
            <w:r>
              <w:rPr>
                <w:rFonts w:ascii="黑体" w:eastAsia="黑体" w:hAnsi="黑体" w:cs="宋体" w:hint="eastAsia"/>
                <w:color w:val="000000"/>
                <w:kern w:val="0"/>
                <w:sz w:val="32"/>
                <w:szCs w:val="32"/>
              </w:rPr>
              <w:t>2025年上海电力大学思想政治教育研究立项课题</w:t>
            </w:r>
          </w:p>
        </w:tc>
      </w:tr>
      <w:tr w:rsidR="00CC38EE" w14:paraId="3382652A" w14:textId="77777777">
        <w:trPr>
          <w:trHeight w:val="544"/>
        </w:trPr>
        <w:tc>
          <w:tcPr>
            <w:tcW w:w="851" w:type="dxa"/>
            <w:tcBorders>
              <w:top w:val="nil"/>
              <w:left w:val="single" w:sz="4" w:space="0" w:color="auto"/>
              <w:bottom w:val="single" w:sz="4" w:space="0" w:color="auto"/>
              <w:right w:val="single" w:sz="4" w:space="0" w:color="auto"/>
            </w:tcBorders>
            <w:noWrap/>
            <w:vAlign w:val="center"/>
          </w:tcPr>
          <w:p w14:paraId="5E06890B" w14:textId="77777777" w:rsidR="00CC38EE" w:rsidRDefault="00000000">
            <w:pPr>
              <w:widowControl/>
              <w:jc w:val="center"/>
              <w:rPr>
                <w:rFonts w:ascii="仿宋_GB2312" w:eastAsia="仿宋_GB2312" w:hAnsi="等线" w:cs="宋体" w:hint="eastAsia"/>
                <w:b/>
                <w:bCs/>
                <w:color w:val="000000"/>
                <w:kern w:val="0"/>
                <w:sz w:val="24"/>
                <w:szCs w:val="24"/>
              </w:rPr>
            </w:pPr>
            <w:r>
              <w:rPr>
                <w:rFonts w:ascii="仿宋_GB2312" w:eastAsia="仿宋_GB2312" w:hAnsi="等线" w:cs="宋体" w:hint="eastAsia"/>
                <w:b/>
                <w:bCs/>
                <w:color w:val="000000"/>
                <w:kern w:val="0"/>
                <w:sz w:val="24"/>
                <w:szCs w:val="24"/>
              </w:rPr>
              <w:t>序号</w:t>
            </w:r>
          </w:p>
        </w:tc>
        <w:tc>
          <w:tcPr>
            <w:tcW w:w="1843" w:type="dxa"/>
            <w:tcBorders>
              <w:top w:val="nil"/>
              <w:left w:val="nil"/>
              <w:bottom w:val="single" w:sz="4" w:space="0" w:color="auto"/>
              <w:right w:val="single" w:sz="4" w:space="0" w:color="auto"/>
            </w:tcBorders>
            <w:noWrap/>
            <w:vAlign w:val="center"/>
          </w:tcPr>
          <w:p w14:paraId="3BC44B34" w14:textId="77777777" w:rsidR="00CC38EE" w:rsidRDefault="00000000">
            <w:pPr>
              <w:widowControl/>
              <w:jc w:val="center"/>
              <w:rPr>
                <w:rFonts w:ascii="仿宋_GB2312" w:eastAsia="仿宋_GB2312" w:hAnsi="等线" w:cs="宋体" w:hint="eastAsia"/>
                <w:b/>
                <w:bCs/>
                <w:color w:val="000000"/>
                <w:kern w:val="0"/>
                <w:sz w:val="24"/>
                <w:szCs w:val="24"/>
              </w:rPr>
            </w:pPr>
            <w:r>
              <w:rPr>
                <w:rFonts w:ascii="仿宋_GB2312" w:eastAsia="仿宋_GB2312" w:hAnsi="等线" w:cs="宋体" w:hint="eastAsia"/>
                <w:b/>
                <w:bCs/>
                <w:color w:val="000000"/>
                <w:kern w:val="0"/>
                <w:sz w:val="24"/>
                <w:szCs w:val="24"/>
              </w:rPr>
              <w:t>课题负责人</w:t>
            </w:r>
          </w:p>
        </w:tc>
        <w:tc>
          <w:tcPr>
            <w:tcW w:w="9355" w:type="dxa"/>
            <w:tcBorders>
              <w:top w:val="nil"/>
              <w:left w:val="nil"/>
              <w:bottom w:val="single" w:sz="4" w:space="0" w:color="auto"/>
              <w:right w:val="single" w:sz="4" w:space="0" w:color="auto"/>
            </w:tcBorders>
            <w:noWrap/>
            <w:vAlign w:val="center"/>
          </w:tcPr>
          <w:p w14:paraId="7485EC6B" w14:textId="77777777" w:rsidR="00CC38EE" w:rsidRDefault="00000000">
            <w:pPr>
              <w:widowControl/>
              <w:jc w:val="center"/>
              <w:rPr>
                <w:rFonts w:ascii="仿宋_GB2312" w:eastAsia="仿宋_GB2312" w:hAnsi="等线" w:cs="宋体" w:hint="eastAsia"/>
                <w:b/>
                <w:bCs/>
                <w:color w:val="000000"/>
                <w:kern w:val="0"/>
                <w:sz w:val="24"/>
                <w:szCs w:val="24"/>
              </w:rPr>
            </w:pPr>
            <w:r>
              <w:rPr>
                <w:rFonts w:ascii="仿宋_GB2312" w:eastAsia="仿宋_GB2312" w:hAnsi="等线" w:cs="宋体" w:hint="eastAsia"/>
                <w:b/>
                <w:bCs/>
                <w:color w:val="000000"/>
                <w:kern w:val="0"/>
                <w:sz w:val="24"/>
                <w:szCs w:val="24"/>
              </w:rPr>
              <w:t>课题名称</w:t>
            </w:r>
          </w:p>
        </w:tc>
        <w:tc>
          <w:tcPr>
            <w:tcW w:w="1985" w:type="dxa"/>
            <w:tcBorders>
              <w:top w:val="nil"/>
              <w:left w:val="nil"/>
              <w:bottom w:val="single" w:sz="4" w:space="0" w:color="auto"/>
              <w:right w:val="single" w:sz="4" w:space="0" w:color="auto"/>
            </w:tcBorders>
            <w:noWrap/>
            <w:vAlign w:val="center"/>
          </w:tcPr>
          <w:p w14:paraId="50CBBF9A" w14:textId="77777777" w:rsidR="00CC38EE" w:rsidRDefault="00000000">
            <w:pPr>
              <w:widowControl/>
              <w:jc w:val="center"/>
              <w:rPr>
                <w:rFonts w:ascii="仿宋_GB2312" w:eastAsia="仿宋_GB2312" w:hAnsi="等线" w:cs="宋体" w:hint="eastAsia"/>
                <w:b/>
                <w:bCs/>
                <w:color w:val="000000"/>
                <w:kern w:val="0"/>
                <w:sz w:val="24"/>
                <w:szCs w:val="24"/>
              </w:rPr>
            </w:pPr>
            <w:r>
              <w:rPr>
                <w:rFonts w:ascii="仿宋_GB2312" w:eastAsia="仿宋_GB2312" w:hAnsi="等线" w:cs="宋体" w:hint="eastAsia"/>
                <w:b/>
                <w:bCs/>
                <w:color w:val="000000"/>
                <w:kern w:val="0"/>
                <w:sz w:val="24"/>
                <w:szCs w:val="24"/>
              </w:rPr>
              <w:t>编号</w:t>
            </w:r>
          </w:p>
        </w:tc>
      </w:tr>
      <w:tr w:rsidR="00CC38EE" w14:paraId="1E9971A4"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2C6FDD84"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1</w:t>
            </w:r>
          </w:p>
        </w:tc>
        <w:tc>
          <w:tcPr>
            <w:tcW w:w="1843" w:type="dxa"/>
            <w:tcBorders>
              <w:top w:val="nil"/>
              <w:left w:val="nil"/>
              <w:bottom w:val="single" w:sz="4" w:space="0" w:color="auto"/>
              <w:right w:val="single" w:sz="4" w:space="0" w:color="auto"/>
            </w:tcBorders>
            <w:noWrap/>
            <w:vAlign w:val="center"/>
          </w:tcPr>
          <w:p w14:paraId="5A91E1F3"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彭丽</w:t>
            </w:r>
          </w:p>
        </w:tc>
        <w:tc>
          <w:tcPr>
            <w:tcW w:w="9355" w:type="dxa"/>
            <w:tcBorders>
              <w:top w:val="nil"/>
              <w:left w:val="nil"/>
              <w:bottom w:val="single" w:sz="4" w:space="0" w:color="auto"/>
              <w:right w:val="single" w:sz="4" w:space="0" w:color="auto"/>
            </w:tcBorders>
            <w:vAlign w:val="center"/>
          </w:tcPr>
          <w:p w14:paraId="29960EAE"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人工智能技术对学校思想政治教育的影响、风险和应对研究</w:t>
            </w:r>
          </w:p>
        </w:tc>
        <w:tc>
          <w:tcPr>
            <w:tcW w:w="1985" w:type="dxa"/>
            <w:tcBorders>
              <w:top w:val="nil"/>
              <w:left w:val="nil"/>
              <w:bottom w:val="single" w:sz="4" w:space="0" w:color="auto"/>
              <w:right w:val="single" w:sz="4" w:space="0" w:color="auto"/>
            </w:tcBorders>
            <w:noWrap/>
            <w:vAlign w:val="center"/>
          </w:tcPr>
          <w:p w14:paraId="7CBDF629"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SDSZ2501</w:t>
            </w:r>
          </w:p>
        </w:tc>
      </w:tr>
      <w:tr w:rsidR="00CC38EE" w14:paraId="667A4C9E"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7FA96608"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2</w:t>
            </w:r>
          </w:p>
        </w:tc>
        <w:tc>
          <w:tcPr>
            <w:tcW w:w="1843" w:type="dxa"/>
            <w:tcBorders>
              <w:top w:val="nil"/>
              <w:left w:val="nil"/>
              <w:bottom w:val="single" w:sz="4" w:space="0" w:color="auto"/>
              <w:right w:val="single" w:sz="4" w:space="0" w:color="auto"/>
            </w:tcBorders>
            <w:noWrap/>
            <w:vAlign w:val="center"/>
          </w:tcPr>
          <w:p w14:paraId="20BC4FB9" w14:textId="77777777" w:rsidR="00CC38EE" w:rsidRDefault="00000000">
            <w:pPr>
              <w:widowControl/>
              <w:jc w:val="center"/>
              <w:rPr>
                <w:rFonts w:ascii="仿宋_GB2312" w:eastAsia="仿宋_GB2312" w:hAnsi="等线" w:cs="宋体" w:hint="eastAsia"/>
                <w:color w:val="000000"/>
                <w:kern w:val="0"/>
                <w:sz w:val="24"/>
                <w:szCs w:val="24"/>
              </w:rPr>
            </w:pPr>
            <w:proofErr w:type="gramStart"/>
            <w:r>
              <w:rPr>
                <w:rFonts w:ascii="仿宋_GB2312" w:eastAsia="仿宋_GB2312" w:hAnsi="等线" w:cs="宋体" w:hint="eastAsia"/>
                <w:color w:val="000000"/>
                <w:kern w:val="0"/>
                <w:sz w:val="24"/>
                <w:szCs w:val="24"/>
              </w:rPr>
              <w:t>赵铮</w:t>
            </w:r>
            <w:proofErr w:type="gramEnd"/>
          </w:p>
        </w:tc>
        <w:tc>
          <w:tcPr>
            <w:tcW w:w="9355" w:type="dxa"/>
            <w:tcBorders>
              <w:top w:val="nil"/>
              <w:left w:val="nil"/>
              <w:bottom w:val="single" w:sz="4" w:space="0" w:color="auto"/>
              <w:right w:val="single" w:sz="4" w:space="0" w:color="auto"/>
            </w:tcBorders>
            <w:vAlign w:val="center"/>
          </w:tcPr>
          <w:p w14:paraId="734B27C6"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生成式人工智能赋能大中小学思想政治教育一体化研究</w:t>
            </w:r>
          </w:p>
        </w:tc>
        <w:tc>
          <w:tcPr>
            <w:tcW w:w="1985" w:type="dxa"/>
            <w:tcBorders>
              <w:top w:val="nil"/>
              <w:left w:val="nil"/>
              <w:bottom w:val="single" w:sz="4" w:space="0" w:color="auto"/>
              <w:right w:val="single" w:sz="4" w:space="0" w:color="auto"/>
            </w:tcBorders>
            <w:noWrap/>
            <w:vAlign w:val="center"/>
          </w:tcPr>
          <w:p w14:paraId="2541C048"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SDSZ2502</w:t>
            </w:r>
          </w:p>
        </w:tc>
      </w:tr>
      <w:tr w:rsidR="00CC38EE" w14:paraId="0610AB2A"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7CDA27A8"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3</w:t>
            </w:r>
          </w:p>
        </w:tc>
        <w:tc>
          <w:tcPr>
            <w:tcW w:w="1843" w:type="dxa"/>
            <w:tcBorders>
              <w:top w:val="nil"/>
              <w:left w:val="nil"/>
              <w:bottom w:val="single" w:sz="4" w:space="0" w:color="auto"/>
              <w:right w:val="single" w:sz="4" w:space="0" w:color="auto"/>
            </w:tcBorders>
            <w:noWrap/>
            <w:vAlign w:val="center"/>
          </w:tcPr>
          <w:p w14:paraId="58304533" w14:textId="77777777" w:rsidR="00CC38EE" w:rsidRDefault="00000000">
            <w:pPr>
              <w:widowControl/>
              <w:jc w:val="center"/>
              <w:rPr>
                <w:rFonts w:ascii="仿宋_GB2312" w:eastAsia="仿宋_GB2312" w:hAnsi="等线" w:cs="宋体" w:hint="eastAsia"/>
                <w:color w:val="000000"/>
                <w:kern w:val="0"/>
                <w:sz w:val="24"/>
                <w:szCs w:val="24"/>
              </w:rPr>
            </w:pPr>
            <w:proofErr w:type="gramStart"/>
            <w:r>
              <w:rPr>
                <w:rFonts w:ascii="仿宋_GB2312" w:eastAsia="仿宋_GB2312" w:hAnsi="等线" w:cs="宋体" w:hint="eastAsia"/>
                <w:color w:val="000000"/>
                <w:kern w:val="0"/>
                <w:sz w:val="24"/>
                <w:szCs w:val="24"/>
              </w:rPr>
              <w:t>焦连志</w:t>
            </w:r>
            <w:proofErr w:type="gramEnd"/>
          </w:p>
        </w:tc>
        <w:tc>
          <w:tcPr>
            <w:tcW w:w="9355" w:type="dxa"/>
            <w:tcBorders>
              <w:top w:val="nil"/>
              <w:left w:val="nil"/>
              <w:bottom w:val="single" w:sz="4" w:space="0" w:color="auto"/>
              <w:right w:val="single" w:sz="4" w:space="0" w:color="auto"/>
            </w:tcBorders>
            <w:vAlign w:val="center"/>
          </w:tcPr>
          <w:p w14:paraId="4EDBA864"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有形有感有效铸牢中华民族共同体意识教育研究</w:t>
            </w:r>
          </w:p>
        </w:tc>
        <w:tc>
          <w:tcPr>
            <w:tcW w:w="1985" w:type="dxa"/>
            <w:tcBorders>
              <w:top w:val="nil"/>
              <w:left w:val="nil"/>
              <w:bottom w:val="single" w:sz="4" w:space="0" w:color="auto"/>
              <w:right w:val="single" w:sz="4" w:space="0" w:color="auto"/>
            </w:tcBorders>
            <w:noWrap/>
            <w:vAlign w:val="center"/>
          </w:tcPr>
          <w:p w14:paraId="5BD7EFA0"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SDSZ2503</w:t>
            </w:r>
          </w:p>
        </w:tc>
      </w:tr>
      <w:tr w:rsidR="00CC38EE" w14:paraId="3EA48E6F"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48831C29"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4</w:t>
            </w:r>
          </w:p>
        </w:tc>
        <w:tc>
          <w:tcPr>
            <w:tcW w:w="1843" w:type="dxa"/>
            <w:tcBorders>
              <w:top w:val="nil"/>
              <w:left w:val="nil"/>
              <w:bottom w:val="single" w:sz="4" w:space="0" w:color="auto"/>
              <w:right w:val="single" w:sz="4" w:space="0" w:color="auto"/>
            </w:tcBorders>
            <w:noWrap/>
            <w:vAlign w:val="center"/>
          </w:tcPr>
          <w:p w14:paraId="68DC29AF"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金一文</w:t>
            </w:r>
          </w:p>
        </w:tc>
        <w:tc>
          <w:tcPr>
            <w:tcW w:w="9355" w:type="dxa"/>
            <w:tcBorders>
              <w:top w:val="nil"/>
              <w:left w:val="nil"/>
              <w:bottom w:val="single" w:sz="4" w:space="0" w:color="auto"/>
              <w:right w:val="single" w:sz="4" w:space="0" w:color="auto"/>
            </w:tcBorders>
            <w:vAlign w:val="center"/>
          </w:tcPr>
          <w:p w14:paraId="613801C7"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生成式人工智能赋能高校思想政治教育新生态构建研究——基于结构学“要素-关系-功能”分析框架</w:t>
            </w:r>
          </w:p>
        </w:tc>
        <w:tc>
          <w:tcPr>
            <w:tcW w:w="1985" w:type="dxa"/>
            <w:tcBorders>
              <w:top w:val="nil"/>
              <w:left w:val="nil"/>
              <w:bottom w:val="single" w:sz="4" w:space="0" w:color="auto"/>
              <w:right w:val="single" w:sz="4" w:space="0" w:color="auto"/>
            </w:tcBorders>
            <w:noWrap/>
            <w:vAlign w:val="center"/>
          </w:tcPr>
          <w:p w14:paraId="3CA91C04"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SDSZ2504</w:t>
            </w:r>
          </w:p>
        </w:tc>
      </w:tr>
      <w:tr w:rsidR="00CC38EE" w14:paraId="6EDA935B"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49F90F04"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5</w:t>
            </w:r>
          </w:p>
        </w:tc>
        <w:tc>
          <w:tcPr>
            <w:tcW w:w="1843" w:type="dxa"/>
            <w:tcBorders>
              <w:top w:val="nil"/>
              <w:left w:val="nil"/>
              <w:bottom w:val="single" w:sz="4" w:space="0" w:color="auto"/>
              <w:right w:val="single" w:sz="4" w:space="0" w:color="auto"/>
            </w:tcBorders>
            <w:vAlign w:val="center"/>
          </w:tcPr>
          <w:p w14:paraId="72C1EC5C"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王宝山</w:t>
            </w:r>
          </w:p>
        </w:tc>
        <w:tc>
          <w:tcPr>
            <w:tcW w:w="9355" w:type="dxa"/>
            <w:tcBorders>
              <w:top w:val="nil"/>
              <w:left w:val="nil"/>
              <w:bottom w:val="single" w:sz="4" w:space="0" w:color="auto"/>
              <w:right w:val="single" w:sz="4" w:space="0" w:color="auto"/>
            </w:tcBorders>
            <w:vAlign w:val="center"/>
          </w:tcPr>
          <w:p w14:paraId="14957272"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五育并举视域下美育育人有效模式构建研究——基于“中国传统建筑美学”课程的实践研究</w:t>
            </w:r>
          </w:p>
        </w:tc>
        <w:tc>
          <w:tcPr>
            <w:tcW w:w="1985" w:type="dxa"/>
            <w:tcBorders>
              <w:top w:val="nil"/>
              <w:left w:val="nil"/>
              <w:bottom w:val="single" w:sz="4" w:space="0" w:color="auto"/>
              <w:right w:val="single" w:sz="4" w:space="0" w:color="auto"/>
            </w:tcBorders>
            <w:noWrap/>
            <w:vAlign w:val="center"/>
          </w:tcPr>
          <w:p w14:paraId="44543DFB"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SDSZ2505</w:t>
            </w:r>
          </w:p>
        </w:tc>
      </w:tr>
      <w:tr w:rsidR="00CC38EE" w14:paraId="0D24A794"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52540DB5"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6</w:t>
            </w:r>
          </w:p>
        </w:tc>
        <w:tc>
          <w:tcPr>
            <w:tcW w:w="1843" w:type="dxa"/>
            <w:tcBorders>
              <w:top w:val="nil"/>
              <w:left w:val="nil"/>
              <w:bottom w:val="single" w:sz="4" w:space="0" w:color="auto"/>
              <w:right w:val="single" w:sz="4" w:space="0" w:color="auto"/>
            </w:tcBorders>
            <w:noWrap/>
            <w:vAlign w:val="center"/>
          </w:tcPr>
          <w:p w14:paraId="7D9EB822" w14:textId="77777777" w:rsidR="00CC38EE" w:rsidRDefault="00000000">
            <w:pPr>
              <w:widowControl/>
              <w:jc w:val="center"/>
              <w:rPr>
                <w:rFonts w:ascii="仿宋_GB2312" w:eastAsia="仿宋_GB2312" w:hAnsi="等线" w:cs="宋体" w:hint="eastAsia"/>
                <w:color w:val="000000"/>
                <w:kern w:val="0"/>
                <w:sz w:val="24"/>
                <w:szCs w:val="24"/>
              </w:rPr>
            </w:pPr>
            <w:proofErr w:type="gramStart"/>
            <w:r>
              <w:rPr>
                <w:rFonts w:ascii="仿宋_GB2312" w:eastAsia="仿宋_GB2312" w:hAnsi="等线" w:cs="宋体" w:hint="eastAsia"/>
                <w:color w:val="000000"/>
                <w:kern w:val="0"/>
                <w:sz w:val="24"/>
                <w:szCs w:val="24"/>
              </w:rPr>
              <w:t>刘敏佳</w:t>
            </w:r>
            <w:proofErr w:type="gramEnd"/>
          </w:p>
        </w:tc>
        <w:tc>
          <w:tcPr>
            <w:tcW w:w="9355" w:type="dxa"/>
            <w:tcBorders>
              <w:top w:val="nil"/>
              <w:left w:val="nil"/>
              <w:bottom w:val="single" w:sz="4" w:space="0" w:color="auto"/>
              <w:right w:val="single" w:sz="4" w:space="0" w:color="auto"/>
            </w:tcBorders>
            <w:vAlign w:val="center"/>
          </w:tcPr>
          <w:p w14:paraId="4D0AF952" w14:textId="77777777" w:rsidR="00CC38EE" w:rsidRDefault="00000000">
            <w:pPr>
              <w:widowControl/>
              <w:jc w:val="center"/>
              <w:rPr>
                <w:rFonts w:ascii="仿宋_GB2312" w:eastAsia="仿宋_GB2312" w:hAnsi="等线" w:cs="宋体" w:hint="eastAsia"/>
                <w:color w:val="000000"/>
                <w:kern w:val="0"/>
                <w:sz w:val="24"/>
                <w:szCs w:val="24"/>
              </w:rPr>
            </w:pPr>
            <w:proofErr w:type="gramStart"/>
            <w:r>
              <w:rPr>
                <w:rFonts w:ascii="仿宋_GB2312" w:eastAsia="仿宋_GB2312" w:hAnsi="等线" w:cs="宋体" w:hint="eastAsia"/>
                <w:color w:val="000000"/>
                <w:kern w:val="0"/>
                <w:sz w:val="24"/>
                <w:szCs w:val="24"/>
              </w:rPr>
              <w:t>数智赋能下</w:t>
            </w:r>
            <w:proofErr w:type="gramEnd"/>
            <w:r>
              <w:rPr>
                <w:rFonts w:ascii="仿宋_GB2312" w:eastAsia="仿宋_GB2312" w:hAnsi="等线" w:cs="宋体" w:hint="eastAsia"/>
                <w:color w:val="000000"/>
                <w:kern w:val="0"/>
                <w:sz w:val="24"/>
                <w:szCs w:val="24"/>
              </w:rPr>
              <w:t>伟大建党精神融入高校</w:t>
            </w:r>
            <w:proofErr w:type="gramStart"/>
            <w:r>
              <w:rPr>
                <w:rFonts w:ascii="仿宋_GB2312" w:eastAsia="仿宋_GB2312" w:hAnsi="等线" w:cs="宋体" w:hint="eastAsia"/>
                <w:color w:val="000000"/>
                <w:kern w:val="0"/>
                <w:sz w:val="24"/>
                <w:szCs w:val="24"/>
              </w:rPr>
              <w:t>思政课</w:t>
            </w:r>
            <w:proofErr w:type="gramEnd"/>
            <w:r>
              <w:rPr>
                <w:rFonts w:ascii="仿宋_GB2312" w:eastAsia="仿宋_GB2312" w:hAnsi="等线" w:cs="宋体" w:hint="eastAsia"/>
                <w:color w:val="000000"/>
                <w:kern w:val="0"/>
                <w:sz w:val="24"/>
                <w:szCs w:val="24"/>
              </w:rPr>
              <w:t>案例式教学实践研究</w:t>
            </w:r>
          </w:p>
        </w:tc>
        <w:tc>
          <w:tcPr>
            <w:tcW w:w="1985" w:type="dxa"/>
            <w:tcBorders>
              <w:top w:val="nil"/>
              <w:left w:val="nil"/>
              <w:bottom w:val="single" w:sz="4" w:space="0" w:color="auto"/>
              <w:right w:val="single" w:sz="4" w:space="0" w:color="auto"/>
            </w:tcBorders>
            <w:noWrap/>
            <w:vAlign w:val="center"/>
          </w:tcPr>
          <w:p w14:paraId="390B9A21"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SDSZ2506</w:t>
            </w:r>
          </w:p>
        </w:tc>
      </w:tr>
      <w:tr w:rsidR="00CC38EE" w14:paraId="5F3BC30E"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523D8619"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7</w:t>
            </w:r>
          </w:p>
        </w:tc>
        <w:tc>
          <w:tcPr>
            <w:tcW w:w="1843" w:type="dxa"/>
            <w:tcBorders>
              <w:top w:val="nil"/>
              <w:left w:val="nil"/>
              <w:bottom w:val="single" w:sz="4" w:space="0" w:color="auto"/>
              <w:right w:val="single" w:sz="4" w:space="0" w:color="auto"/>
            </w:tcBorders>
            <w:noWrap/>
            <w:vAlign w:val="center"/>
          </w:tcPr>
          <w:p w14:paraId="1D4E42CD"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王静</w:t>
            </w:r>
          </w:p>
        </w:tc>
        <w:tc>
          <w:tcPr>
            <w:tcW w:w="9355" w:type="dxa"/>
            <w:tcBorders>
              <w:top w:val="nil"/>
              <w:left w:val="nil"/>
              <w:bottom w:val="single" w:sz="4" w:space="0" w:color="auto"/>
              <w:right w:val="single" w:sz="4" w:space="0" w:color="auto"/>
            </w:tcBorders>
            <w:vAlign w:val="center"/>
          </w:tcPr>
          <w:p w14:paraId="5E658485"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高校日常思想政治教育方法路径的创新研究</w:t>
            </w:r>
          </w:p>
        </w:tc>
        <w:tc>
          <w:tcPr>
            <w:tcW w:w="1985" w:type="dxa"/>
            <w:tcBorders>
              <w:top w:val="nil"/>
              <w:left w:val="nil"/>
              <w:bottom w:val="single" w:sz="4" w:space="0" w:color="auto"/>
              <w:right w:val="single" w:sz="4" w:space="0" w:color="auto"/>
            </w:tcBorders>
            <w:noWrap/>
            <w:vAlign w:val="center"/>
          </w:tcPr>
          <w:p w14:paraId="7799B82E"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SDSZ2507</w:t>
            </w:r>
          </w:p>
        </w:tc>
      </w:tr>
      <w:tr w:rsidR="00CC38EE" w14:paraId="6ED3F755"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12B6E427"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8</w:t>
            </w:r>
          </w:p>
        </w:tc>
        <w:tc>
          <w:tcPr>
            <w:tcW w:w="1843" w:type="dxa"/>
            <w:tcBorders>
              <w:top w:val="nil"/>
              <w:left w:val="nil"/>
              <w:bottom w:val="single" w:sz="4" w:space="0" w:color="auto"/>
              <w:right w:val="single" w:sz="4" w:space="0" w:color="auto"/>
            </w:tcBorders>
            <w:noWrap/>
            <w:vAlign w:val="center"/>
          </w:tcPr>
          <w:p w14:paraId="0D5B6D82"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高</w:t>
            </w:r>
            <w:proofErr w:type="gramStart"/>
            <w:r>
              <w:rPr>
                <w:rFonts w:ascii="仿宋_GB2312" w:eastAsia="仿宋_GB2312" w:hAnsi="等线" w:cs="宋体" w:hint="eastAsia"/>
                <w:color w:val="000000"/>
                <w:kern w:val="0"/>
                <w:sz w:val="24"/>
                <w:szCs w:val="24"/>
              </w:rPr>
              <w:t>汕</w:t>
            </w:r>
            <w:proofErr w:type="gramEnd"/>
          </w:p>
        </w:tc>
        <w:tc>
          <w:tcPr>
            <w:tcW w:w="9355" w:type="dxa"/>
            <w:tcBorders>
              <w:top w:val="nil"/>
              <w:left w:val="nil"/>
              <w:bottom w:val="single" w:sz="4" w:space="0" w:color="auto"/>
              <w:right w:val="single" w:sz="4" w:space="0" w:color="auto"/>
            </w:tcBorders>
            <w:vAlign w:val="center"/>
          </w:tcPr>
          <w:p w14:paraId="0784D6B1"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数字化赋能高校“大思政课”铸牢中华民族共同体意识的协同机制研究</w:t>
            </w:r>
          </w:p>
        </w:tc>
        <w:tc>
          <w:tcPr>
            <w:tcW w:w="1985" w:type="dxa"/>
            <w:tcBorders>
              <w:top w:val="nil"/>
              <w:left w:val="nil"/>
              <w:bottom w:val="single" w:sz="4" w:space="0" w:color="auto"/>
              <w:right w:val="single" w:sz="4" w:space="0" w:color="auto"/>
            </w:tcBorders>
            <w:noWrap/>
            <w:vAlign w:val="center"/>
          </w:tcPr>
          <w:p w14:paraId="0E2CFC33"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SDSZ2508</w:t>
            </w:r>
          </w:p>
        </w:tc>
      </w:tr>
      <w:tr w:rsidR="00CC38EE" w14:paraId="43B433CB"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54C46AAB"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9</w:t>
            </w:r>
          </w:p>
        </w:tc>
        <w:tc>
          <w:tcPr>
            <w:tcW w:w="1843" w:type="dxa"/>
            <w:tcBorders>
              <w:top w:val="nil"/>
              <w:left w:val="nil"/>
              <w:bottom w:val="single" w:sz="4" w:space="0" w:color="auto"/>
              <w:right w:val="single" w:sz="4" w:space="0" w:color="auto"/>
            </w:tcBorders>
            <w:noWrap/>
            <w:vAlign w:val="center"/>
          </w:tcPr>
          <w:p w14:paraId="0E3D0674"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王涛</w:t>
            </w:r>
          </w:p>
        </w:tc>
        <w:tc>
          <w:tcPr>
            <w:tcW w:w="9355" w:type="dxa"/>
            <w:tcBorders>
              <w:top w:val="nil"/>
              <w:left w:val="nil"/>
              <w:bottom w:val="single" w:sz="4" w:space="0" w:color="auto"/>
              <w:right w:val="single" w:sz="4" w:space="0" w:color="auto"/>
            </w:tcBorders>
            <w:vAlign w:val="center"/>
          </w:tcPr>
          <w:p w14:paraId="562D4BEF"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学校家庭社会协同育人提升大学生心理韧性路径研究</w:t>
            </w:r>
          </w:p>
        </w:tc>
        <w:tc>
          <w:tcPr>
            <w:tcW w:w="1985" w:type="dxa"/>
            <w:tcBorders>
              <w:top w:val="nil"/>
              <w:left w:val="nil"/>
              <w:bottom w:val="single" w:sz="4" w:space="0" w:color="auto"/>
              <w:right w:val="single" w:sz="4" w:space="0" w:color="auto"/>
            </w:tcBorders>
            <w:noWrap/>
            <w:vAlign w:val="center"/>
          </w:tcPr>
          <w:p w14:paraId="22C6E7B8"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SDSZ2509</w:t>
            </w:r>
          </w:p>
        </w:tc>
      </w:tr>
      <w:tr w:rsidR="00CC38EE" w14:paraId="68DD499C"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7333C431"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10</w:t>
            </w:r>
          </w:p>
        </w:tc>
        <w:tc>
          <w:tcPr>
            <w:tcW w:w="1843" w:type="dxa"/>
            <w:tcBorders>
              <w:top w:val="nil"/>
              <w:left w:val="nil"/>
              <w:bottom w:val="single" w:sz="4" w:space="0" w:color="auto"/>
              <w:right w:val="single" w:sz="4" w:space="0" w:color="auto"/>
            </w:tcBorders>
            <w:noWrap/>
            <w:vAlign w:val="center"/>
          </w:tcPr>
          <w:p w14:paraId="23FA76A7"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程蓓佳</w:t>
            </w:r>
          </w:p>
        </w:tc>
        <w:tc>
          <w:tcPr>
            <w:tcW w:w="9355" w:type="dxa"/>
            <w:tcBorders>
              <w:top w:val="nil"/>
              <w:left w:val="nil"/>
              <w:bottom w:val="single" w:sz="4" w:space="0" w:color="auto"/>
              <w:right w:val="single" w:sz="4" w:space="0" w:color="auto"/>
            </w:tcBorders>
            <w:vAlign w:val="center"/>
          </w:tcPr>
          <w:p w14:paraId="5AA6990B"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“网络场域-认知视域”：红色基因融入新时代青年家国情怀培养的机制研究</w:t>
            </w:r>
          </w:p>
        </w:tc>
        <w:tc>
          <w:tcPr>
            <w:tcW w:w="1985" w:type="dxa"/>
            <w:tcBorders>
              <w:top w:val="nil"/>
              <w:left w:val="nil"/>
              <w:bottom w:val="single" w:sz="4" w:space="0" w:color="auto"/>
              <w:right w:val="single" w:sz="4" w:space="0" w:color="auto"/>
            </w:tcBorders>
            <w:noWrap/>
            <w:vAlign w:val="center"/>
          </w:tcPr>
          <w:p w14:paraId="444A1390"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SDSZ2510</w:t>
            </w:r>
          </w:p>
        </w:tc>
      </w:tr>
      <w:tr w:rsidR="00CC38EE" w14:paraId="36CA2E85"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0C5DDEC2"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lastRenderedPageBreak/>
              <w:t>11</w:t>
            </w:r>
          </w:p>
        </w:tc>
        <w:tc>
          <w:tcPr>
            <w:tcW w:w="1843" w:type="dxa"/>
            <w:tcBorders>
              <w:top w:val="nil"/>
              <w:left w:val="nil"/>
              <w:bottom w:val="single" w:sz="4" w:space="0" w:color="auto"/>
              <w:right w:val="single" w:sz="4" w:space="0" w:color="auto"/>
            </w:tcBorders>
            <w:noWrap/>
            <w:vAlign w:val="center"/>
          </w:tcPr>
          <w:p w14:paraId="08378056"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余开华</w:t>
            </w:r>
          </w:p>
        </w:tc>
        <w:tc>
          <w:tcPr>
            <w:tcW w:w="9355" w:type="dxa"/>
            <w:tcBorders>
              <w:top w:val="nil"/>
              <w:left w:val="nil"/>
              <w:bottom w:val="single" w:sz="4" w:space="0" w:color="auto"/>
              <w:right w:val="single" w:sz="4" w:space="0" w:color="auto"/>
            </w:tcBorders>
            <w:vAlign w:val="center"/>
          </w:tcPr>
          <w:p w14:paraId="54431E23"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数字化生存背景下Z世代青少年群体性孤独的社会支持体系构建与干预对策研究</w:t>
            </w:r>
          </w:p>
        </w:tc>
        <w:tc>
          <w:tcPr>
            <w:tcW w:w="1985" w:type="dxa"/>
            <w:tcBorders>
              <w:top w:val="nil"/>
              <w:left w:val="nil"/>
              <w:bottom w:val="single" w:sz="4" w:space="0" w:color="auto"/>
              <w:right w:val="single" w:sz="4" w:space="0" w:color="auto"/>
            </w:tcBorders>
            <w:noWrap/>
            <w:vAlign w:val="center"/>
          </w:tcPr>
          <w:p w14:paraId="2DE7F5B7"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SDSZ2511</w:t>
            </w:r>
          </w:p>
        </w:tc>
      </w:tr>
      <w:tr w:rsidR="00CC38EE" w14:paraId="528691C2"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05677146"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12</w:t>
            </w:r>
          </w:p>
        </w:tc>
        <w:tc>
          <w:tcPr>
            <w:tcW w:w="1843" w:type="dxa"/>
            <w:tcBorders>
              <w:top w:val="nil"/>
              <w:left w:val="nil"/>
              <w:bottom w:val="single" w:sz="4" w:space="0" w:color="auto"/>
              <w:right w:val="single" w:sz="4" w:space="0" w:color="auto"/>
            </w:tcBorders>
            <w:vAlign w:val="center"/>
          </w:tcPr>
          <w:p w14:paraId="6C712C72"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朱梦婷</w:t>
            </w:r>
          </w:p>
        </w:tc>
        <w:tc>
          <w:tcPr>
            <w:tcW w:w="9355" w:type="dxa"/>
            <w:tcBorders>
              <w:top w:val="nil"/>
              <w:left w:val="nil"/>
              <w:bottom w:val="single" w:sz="4" w:space="0" w:color="auto"/>
              <w:right w:val="single" w:sz="4" w:space="0" w:color="auto"/>
            </w:tcBorders>
            <w:vAlign w:val="center"/>
          </w:tcPr>
          <w:p w14:paraId="4CC2FD16"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“能源情怀”融入《大学生入学教育与生涯规划》提升课程</w:t>
            </w:r>
            <w:proofErr w:type="gramStart"/>
            <w:r>
              <w:rPr>
                <w:rFonts w:ascii="仿宋_GB2312" w:eastAsia="仿宋_GB2312" w:hAnsi="等线" w:cs="宋体" w:hint="eastAsia"/>
                <w:color w:val="000000"/>
                <w:kern w:val="0"/>
                <w:sz w:val="24"/>
                <w:szCs w:val="24"/>
              </w:rPr>
              <w:t>思政引领力</w:t>
            </w:r>
            <w:proofErr w:type="gramEnd"/>
            <w:r>
              <w:rPr>
                <w:rFonts w:ascii="仿宋_GB2312" w:eastAsia="仿宋_GB2312" w:hAnsi="等线" w:cs="宋体" w:hint="eastAsia"/>
                <w:color w:val="000000"/>
                <w:kern w:val="0"/>
                <w:sz w:val="24"/>
                <w:szCs w:val="24"/>
              </w:rPr>
              <w:t>的路径研究</w:t>
            </w:r>
          </w:p>
        </w:tc>
        <w:tc>
          <w:tcPr>
            <w:tcW w:w="1985" w:type="dxa"/>
            <w:tcBorders>
              <w:top w:val="nil"/>
              <w:left w:val="nil"/>
              <w:bottom w:val="single" w:sz="4" w:space="0" w:color="auto"/>
              <w:right w:val="single" w:sz="4" w:space="0" w:color="auto"/>
            </w:tcBorders>
            <w:noWrap/>
            <w:vAlign w:val="center"/>
          </w:tcPr>
          <w:p w14:paraId="6F740F94"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SDSZ2512</w:t>
            </w:r>
          </w:p>
        </w:tc>
      </w:tr>
      <w:tr w:rsidR="00CC38EE" w14:paraId="19AE0C98"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0F929606"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13</w:t>
            </w:r>
          </w:p>
        </w:tc>
        <w:tc>
          <w:tcPr>
            <w:tcW w:w="1843" w:type="dxa"/>
            <w:tcBorders>
              <w:top w:val="nil"/>
              <w:left w:val="nil"/>
              <w:bottom w:val="single" w:sz="4" w:space="0" w:color="auto"/>
              <w:right w:val="single" w:sz="4" w:space="0" w:color="auto"/>
            </w:tcBorders>
            <w:noWrap/>
            <w:vAlign w:val="center"/>
          </w:tcPr>
          <w:p w14:paraId="05920FCB"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崔颖</w:t>
            </w:r>
          </w:p>
        </w:tc>
        <w:tc>
          <w:tcPr>
            <w:tcW w:w="9355" w:type="dxa"/>
            <w:tcBorders>
              <w:top w:val="nil"/>
              <w:left w:val="nil"/>
              <w:bottom w:val="single" w:sz="4" w:space="0" w:color="auto"/>
              <w:right w:val="single" w:sz="4" w:space="0" w:color="auto"/>
            </w:tcBorders>
            <w:vAlign w:val="center"/>
          </w:tcPr>
          <w:p w14:paraId="4F748748" w14:textId="77777777" w:rsidR="00CC38EE" w:rsidRDefault="00000000">
            <w:pPr>
              <w:widowControl/>
              <w:jc w:val="center"/>
              <w:rPr>
                <w:rFonts w:ascii="仿宋_GB2312" w:eastAsia="仿宋_GB2312" w:hAnsi="等线" w:cs="宋体" w:hint="eastAsia"/>
                <w:color w:val="000000"/>
                <w:kern w:val="0"/>
                <w:sz w:val="24"/>
                <w:szCs w:val="24"/>
              </w:rPr>
            </w:pPr>
            <w:proofErr w:type="gramStart"/>
            <w:r>
              <w:rPr>
                <w:rFonts w:ascii="仿宋_GB2312" w:eastAsia="仿宋_GB2312" w:hAnsi="等线" w:cs="宋体" w:hint="eastAsia"/>
                <w:color w:val="000000"/>
                <w:kern w:val="0"/>
                <w:sz w:val="24"/>
                <w:szCs w:val="24"/>
              </w:rPr>
              <w:t>数智技术</w:t>
            </w:r>
            <w:proofErr w:type="gramEnd"/>
            <w:r>
              <w:rPr>
                <w:rFonts w:ascii="仿宋_GB2312" w:eastAsia="仿宋_GB2312" w:hAnsi="等线" w:cs="宋体" w:hint="eastAsia"/>
                <w:color w:val="000000"/>
                <w:kern w:val="0"/>
                <w:sz w:val="24"/>
                <w:szCs w:val="24"/>
              </w:rPr>
              <w:t>赋能高校辅导员</w:t>
            </w:r>
            <w:proofErr w:type="gramStart"/>
            <w:r>
              <w:rPr>
                <w:rFonts w:ascii="仿宋_GB2312" w:eastAsia="仿宋_GB2312" w:hAnsi="等线" w:cs="宋体" w:hint="eastAsia"/>
                <w:color w:val="000000"/>
                <w:kern w:val="0"/>
                <w:sz w:val="24"/>
                <w:szCs w:val="24"/>
              </w:rPr>
              <w:t>思政教育</w:t>
            </w:r>
            <w:proofErr w:type="gramEnd"/>
            <w:r>
              <w:rPr>
                <w:rFonts w:ascii="仿宋_GB2312" w:eastAsia="仿宋_GB2312" w:hAnsi="等线" w:cs="宋体" w:hint="eastAsia"/>
                <w:color w:val="000000"/>
                <w:kern w:val="0"/>
                <w:sz w:val="24"/>
                <w:szCs w:val="24"/>
              </w:rPr>
              <w:t>的价值、困境与路径研究——以上海电力大学为例</w:t>
            </w:r>
          </w:p>
        </w:tc>
        <w:tc>
          <w:tcPr>
            <w:tcW w:w="1985" w:type="dxa"/>
            <w:tcBorders>
              <w:top w:val="nil"/>
              <w:left w:val="nil"/>
              <w:bottom w:val="single" w:sz="4" w:space="0" w:color="auto"/>
              <w:right w:val="single" w:sz="4" w:space="0" w:color="auto"/>
            </w:tcBorders>
            <w:noWrap/>
            <w:vAlign w:val="center"/>
          </w:tcPr>
          <w:p w14:paraId="4476B943"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SDSZ2513</w:t>
            </w:r>
          </w:p>
        </w:tc>
      </w:tr>
      <w:tr w:rsidR="00CC38EE" w14:paraId="462F244F"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4525E11C"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14</w:t>
            </w:r>
          </w:p>
        </w:tc>
        <w:tc>
          <w:tcPr>
            <w:tcW w:w="1843" w:type="dxa"/>
            <w:tcBorders>
              <w:top w:val="nil"/>
              <w:left w:val="nil"/>
              <w:bottom w:val="single" w:sz="4" w:space="0" w:color="auto"/>
              <w:right w:val="single" w:sz="4" w:space="0" w:color="auto"/>
            </w:tcBorders>
            <w:noWrap/>
            <w:vAlign w:val="center"/>
          </w:tcPr>
          <w:p w14:paraId="5939CA5C"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安奕霖</w:t>
            </w:r>
          </w:p>
        </w:tc>
        <w:tc>
          <w:tcPr>
            <w:tcW w:w="9355" w:type="dxa"/>
            <w:tcBorders>
              <w:top w:val="nil"/>
              <w:left w:val="nil"/>
              <w:bottom w:val="single" w:sz="4" w:space="0" w:color="auto"/>
              <w:right w:val="single" w:sz="4" w:space="0" w:color="auto"/>
            </w:tcBorders>
            <w:vAlign w:val="center"/>
          </w:tcPr>
          <w:p w14:paraId="19150770"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“五育并举”视域下应用型高校大学生劳动教育实践路径研究</w:t>
            </w:r>
          </w:p>
        </w:tc>
        <w:tc>
          <w:tcPr>
            <w:tcW w:w="1985" w:type="dxa"/>
            <w:tcBorders>
              <w:top w:val="nil"/>
              <w:left w:val="nil"/>
              <w:bottom w:val="single" w:sz="4" w:space="0" w:color="auto"/>
              <w:right w:val="single" w:sz="4" w:space="0" w:color="auto"/>
            </w:tcBorders>
            <w:noWrap/>
            <w:vAlign w:val="center"/>
          </w:tcPr>
          <w:p w14:paraId="56CB0943"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SDSZ2514</w:t>
            </w:r>
          </w:p>
        </w:tc>
      </w:tr>
      <w:tr w:rsidR="00CC38EE" w14:paraId="428FDFAC"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1990C3CB"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15</w:t>
            </w:r>
          </w:p>
        </w:tc>
        <w:tc>
          <w:tcPr>
            <w:tcW w:w="1843" w:type="dxa"/>
            <w:tcBorders>
              <w:top w:val="nil"/>
              <w:left w:val="nil"/>
              <w:bottom w:val="single" w:sz="4" w:space="0" w:color="auto"/>
              <w:right w:val="single" w:sz="4" w:space="0" w:color="auto"/>
            </w:tcBorders>
            <w:noWrap/>
            <w:vAlign w:val="center"/>
          </w:tcPr>
          <w:p w14:paraId="61B3F519"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陈炜</w:t>
            </w:r>
          </w:p>
        </w:tc>
        <w:tc>
          <w:tcPr>
            <w:tcW w:w="9355" w:type="dxa"/>
            <w:tcBorders>
              <w:top w:val="nil"/>
              <w:left w:val="nil"/>
              <w:bottom w:val="single" w:sz="4" w:space="0" w:color="auto"/>
              <w:right w:val="single" w:sz="4" w:space="0" w:color="auto"/>
            </w:tcBorders>
            <w:vAlign w:val="center"/>
          </w:tcPr>
          <w:p w14:paraId="4FCE9C51"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红色文化物质载体在大中小学思想政治教育一体化建设中的作用探析</w:t>
            </w:r>
          </w:p>
        </w:tc>
        <w:tc>
          <w:tcPr>
            <w:tcW w:w="1985" w:type="dxa"/>
            <w:tcBorders>
              <w:top w:val="nil"/>
              <w:left w:val="nil"/>
              <w:bottom w:val="single" w:sz="4" w:space="0" w:color="auto"/>
              <w:right w:val="single" w:sz="4" w:space="0" w:color="auto"/>
            </w:tcBorders>
            <w:noWrap/>
            <w:vAlign w:val="center"/>
          </w:tcPr>
          <w:p w14:paraId="444FC045"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SDSZ2515</w:t>
            </w:r>
          </w:p>
        </w:tc>
      </w:tr>
      <w:tr w:rsidR="00CC38EE" w14:paraId="4B583F4E"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2484A3B3"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16</w:t>
            </w:r>
          </w:p>
        </w:tc>
        <w:tc>
          <w:tcPr>
            <w:tcW w:w="1843" w:type="dxa"/>
            <w:tcBorders>
              <w:top w:val="nil"/>
              <w:left w:val="nil"/>
              <w:bottom w:val="single" w:sz="4" w:space="0" w:color="auto"/>
              <w:right w:val="single" w:sz="4" w:space="0" w:color="auto"/>
            </w:tcBorders>
            <w:noWrap/>
            <w:vAlign w:val="center"/>
          </w:tcPr>
          <w:p w14:paraId="0F88D82E"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阮文杰</w:t>
            </w:r>
          </w:p>
        </w:tc>
        <w:tc>
          <w:tcPr>
            <w:tcW w:w="9355" w:type="dxa"/>
            <w:tcBorders>
              <w:top w:val="nil"/>
              <w:left w:val="nil"/>
              <w:bottom w:val="single" w:sz="4" w:space="0" w:color="auto"/>
              <w:right w:val="single" w:sz="4" w:space="0" w:color="auto"/>
            </w:tcBorders>
            <w:vAlign w:val="center"/>
          </w:tcPr>
          <w:p w14:paraId="0FDA2180"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人工智能时代大学生思想认知特点的变化特征</w:t>
            </w:r>
            <w:proofErr w:type="gramStart"/>
            <w:r>
              <w:rPr>
                <w:rFonts w:ascii="仿宋_GB2312" w:eastAsia="仿宋_GB2312" w:hAnsi="等线" w:cs="宋体" w:hint="eastAsia"/>
                <w:color w:val="000000"/>
                <w:kern w:val="0"/>
                <w:sz w:val="24"/>
                <w:szCs w:val="24"/>
              </w:rPr>
              <w:t>及思政教育</w:t>
            </w:r>
            <w:proofErr w:type="gramEnd"/>
            <w:r>
              <w:rPr>
                <w:rFonts w:ascii="仿宋_GB2312" w:eastAsia="仿宋_GB2312" w:hAnsi="等线" w:cs="宋体" w:hint="eastAsia"/>
                <w:color w:val="000000"/>
                <w:kern w:val="0"/>
                <w:sz w:val="24"/>
                <w:szCs w:val="24"/>
              </w:rPr>
              <w:t>的适应性策略研究</w:t>
            </w:r>
          </w:p>
        </w:tc>
        <w:tc>
          <w:tcPr>
            <w:tcW w:w="1985" w:type="dxa"/>
            <w:tcBorders>
              <w:top w:val="nil"/>
              <w:left w:val="nil"/>
              <w:bottom w:val="single" w:sz="4" w:space="0" w:color="auto"/>
              <w:right w:val="single" w:sz="4" w:space="0" w:color="auto"/>
            </w:tcBorders>
            <w:noWrap/>
            <w:vAlign w:val="center"/>
          </w:tcPr>
          <w:p w14:paraId="3E43D53C"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SDSZ2516</w:t>
            </w:r>
          </w:p>
        </w:tc>
      </w:tr>
      <w:tr w:rsidR="00CC38EE" w14:paraId="74F75A94"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13816B61"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17</w:t>
            </w:r>
          </w:p>
        </w:tc>
        <w:tc>
          <w:tcPr>
            <w:tcW w:w="1843" w:type="dxa"/>
            <w:tcBorders>
              <w:top w:val="nil"/>
              <w:left w:val="nil"/>
              <w:bottom w:val="single" w:sz="4" w:space="0" w:color="auto"/>
              <w:right w:val="single" w:sz="4" w:space="0" w:color="auto"/>
            </w:tcBorders>
            <w:noWrap/>
            <w:vAlign w:val="center"/>
          </w:tcPr>
          <w:p w14:paraId="67012C1F"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张之明</w:t>
            </w:r>
          </w:p>
        </w:tc>
        <w:tc>
          <w:tcPr>
            <w:tcW w:w="9355" w:type="dxa"/>
            <w:tcBorders>
              <w:top w:val="nil"/>
              <w:left w:val="nil"/>
              <w:bottom w:val="single" w:sz="4" w:space="0" w:color="auto"/>
              <w:right w:val="single" w:sz="4" w:space="0" w:color="auto"/>
            </w:tcBorders>
            <w:vAlign w:val="center"/>
          </w:tcPr>
          <w:p w14:paraId="330690D5"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“五育并举”视域下高校劳动教育长效模式构建路径探析</w:t>
            </w:r>
          </w:p>
        </w:tc>
        <w:tc>
          <w:tcPr>
            <w:tcW w:w="1985" w:type="dxa"/>
            <w:tcBorders>
              <w:top w:val="nil"/>
              <w:left w:val="nil"/>
              <w:bottom w:val="single" w:sz="4" w:space="0" w:color="auto"/>
              <w:right w:val="single" w:sz="4" w:space="0" w:color="auto"/>
            </w:tcBorders>
            <w:noWrap/>
            <w:vAlign w:val="center"/>
          </w:tcPr>
          <w:p w14:paraId="1DEF009D"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SDSZ2517</w:t>
            </w:r>
          </w:p>
        </w:tc>
      </w:tr>
      <w:tr w:rsidR="00CC38EE" w14:paraId="4ECFD0A5"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505ACDE9"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18</w:t>
            </w:r>
          </w:p>
        </w:tc>
        <w:tc>
          <w:tcPr>
            <w:tcW w:w="1843" w:type="dxa"/>
            <w:tcBorders>
              <w:top w:val="nil"/>
              <w:left w:val="nil"/>
              <w:bottom w:val="single" w:sz="4" w:space="0" w:color="auto"/>
              <w:right w:val="single" w:sz="4" w:space="0" w:color="auto"/>
            </w:tcBorders>
            <w:noWrap/>
            <w:vAlign w:val="center"/>
          </w:tcPr>
          <w:p w14:paraId="469A3E15"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张弛</w:t>
            </w:r>
          </w:p>
        </w:tc>
        <w:tc>
          <w:tcPr>
            <w:tcW w:w="9355" w:type="dxa"/>
            <w:tcBorders>
              <w:top w:val="nil"/>
              <w:left w:val="nil"/>
              <w:bottom w:val="single" w:sz="4" w:space="0" w:color="auto"/>
              <w:right w:val="single" w:sz="4" w:space="0" w:color="auto"/>
            </w:tcBorders>
            <w:vAlign w:val="center"/>
          </w:tcPr>
          <w:p w14:paraId="264C8EB0"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红色文化融入大中小学历史教育案例式教学研究</w:t>
            </w:r>
          </w:p>
        </w:tc>
        <w:tc>
          <w:tcPr>
            <w:tcW w:w="1985" w:type="dxa"/>
            <w:tcBorders>
              <w:top w:val="nil"/>
              <w:left w:val="nil"/>
              <w:bottom w:val="single" w:sz="4" w:space="0" w:color="auto"/>
              <w:right w:val="single" w:sz="4" w:space="0" w:color="auto"/>
            </w:tcBorders>
            <w:noWrap/>
            <w:vAlign w:val="center"/>
          </w:tcPr>
          <w:p w14:paraId="620AAE5B"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SDSZ2518</w:t>
            </w:r>
          </w:p>
        </w:tc>
      </w:tr>
      <w:tr w:rsidR="00CC38EE" w14:paraId="1FEF3DCB"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15841FE3"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19</w:t>
            </w:r>
          </w:p>
        </w:tc>
        <w:tc>
          <w:tcPr>
            <w:tcW w:w="1843" w:type="dxa"/>
            <w:tcBorders>
              <w:top w:val="nil"/>
              <w:left w:val="nil"/>
              <w:bottom w:val="single" w:sz="4" w:space="0" w:color="auto"/>
              <w:right w:val="single" w:sz="4" w:space="0" w:color="auto"/>
            </w:tcBorders>
            <w:noWrap/>
            <w:vAlign w:val="center"/>
          </w:tcPr>
          <w:p w14:paraId="08C8080F" w14:textId="77777777" w:rsidR="00CC38EE" w:rsidRDefault="00000000">
            <w:pPr>
              <w:widowControl/>
              <w:jc w:val="center"/>
              <w:rPr>
                <w:rFonts w:ascii="仿宋_GB2312" w:eastAsia="仿宋_GB2312" w:hAnsi="等线" w:cs="宋体" w:hint="eastAsia"/>
                <w:color w:val="000000"/>
                <w:kern w:val="0"/>
                <w:sz w:val="24"/>
                <w:szCs w:val="24"/>
              </w:rPr>
            </w:pPr>
            <w:proofErr w:type="gramStart"/>
            <w:r>
              <w:rPr>
                <w:rFonts w:ascii="仿宋_GB2312" w:eastAsia="仿宋_GB2312" w:hAnsi="等线" w:cs="宋体" w:hint="eastAsia"/>
                <w:color w:val="000000"/>
                <w:kern w:val="0"/>
                <w:sz w:val="24"/>
                <w:szCs w:val="24"/>
              </w:rPr>
              <w:t>苏波</w:t>
            </w:r>
            <w:proofErr w:type="gramEnd"/>
          </w:p>
        </w:tc>
        <w:tc>
          <w:tcPr>
            <w:tcW w:w="9355" w:type="dxa"/>
            <w:tcBorders>
              <w:top w:val="nil"/>
              <w:left w:val="nil"/>
              <w:bottom w:val="single" w:sz="4" w:space="0" w:color="auto"/>
              <w:right w:val="single" w:sz="4" w:space="0" w:color="auto"/>
            </w:tcBorders>
            <w:vAlign w:val="center"/>
          </w:tcPr>
          <w:p w14:paraId="7CE9CA96"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提升高校</w:t>
            </w:r>
            <w:proofErr w:type="gramStart"/>
            <w:r>
              <w:rPr>
                <w:rFonts w:ascii="仿宋_GB2312" w:eastAsia="仿宋_GB2312" w:hAnsi="等线" w:cs="宋体" w:hint="eastAsia"/>
                <w:color w:val="000000"/>
                <w:kern w:val="0"/>
                <w:sz w:val="24"/>
                <w:szCs w:val="24"/>
              </w:rPr>
              <w:t>思政课</w:t>
            </w:r>
            <w:proofErr w:type="gramEnd"/>
            <w:r>
              <w:rPr>
                <w:rFonts w:ascii="仿宋_GB2312" w:eastAsia="仿宋_GB2312" w:hAnsi="等线" w:cs="宋体" w:hint="eastAsia"/>
                <w:color w:val="000000"/>
                <w:kern w:val="0"/>
                <w:sz w:val="24"/>
                <w:szCs w:val="24"/>
              </w:rPr>
              <w:t>教师数字素养能力的有效路径研究</w:t>
            </w:r>
          </w:p>
        </w:tc>
        <w:tc>
          <w:tcPr>
            <w:tcW w:w="1985" w:type="dxa"/>
            <w:tcBorders>
              <w:top w:val="nil"/>
              <w:left w:val="nil"/>
              <w:bottom w:val="single" w:sz="4" w:space="0" w:color="auto"/>
              <w:right w:val="single" w:sz="4" w:space="0" w:color="auto"/>
            </w:tcBorders>
            <w:noWrap/>
            <w:vAlign w:val="center"/>
          </w:tcPr>
          <w:p w14:paraId="300DE3F7"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SDSZ2519</w:t>
            </w:r>
          </w:p>
        </w:tc>
      </w:tr>
      <w:tr w:rsidR="00CC38EE" w14:paraId="43D5049C" w14:textId="77777777">
        <w:trPr>
          <w:trHeight w:val="605"/>
        </w:trPr>
        <w:tc>
          <w:tcPr>
            <w:tcW w:w="851" w:type="dxa"/>
            <w:tcBorders>
              <w:top w:val="nil"/>
              <w:left w:val="single" w:sz="4" w:space="0" w:color="auto"/>
              <w:bottom w:val="single" w:sz="4" w:space="0" w:color="auto"/>
              <w:right w:val="single" w:sz="4" w:space="0" w:color="auto"/>
            </w:tcBorders>
            <w:noWrap/>
            <w:vAlign w:val="center"/>
          </w:tcPr>
          <w:p w14:paraId="38225E07"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20</w:t>
            </w:r>
          </w:p>
        </w:tc>
        <w:tc>
          <w:tcPr>
            <w:tcW w:w="1843" w:type="dxa"/>
            <w:tcBorders>
              <w:top w:val="nil"/>
              <w:left w:val="nil"/>
              <w:bottom w:val="single" w:sz="4" w:space="0" w:color="auto"/>
              <w:right w:val="single" w:sz="4" w:space="0" w:color="auto"/>
            </w:tcBorders>
            <w:noWrap/>
            <w:vAlign w:val="center"/>
          </w:tcPr>
          <w:p w14:paraId="197DFEBF"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才子</w:t>
            </w:r>
            <w:proofErr w:type="gramStart"/>
            <w:r>
              <w:rPr>
                <w:rFonts w:ascii="仿宋_GB2312" w:eastAsia="仿宋_GB2312" w:hAnsi="等线" w:cs="宋体" w:hint="eastAsia"/>
                <w:color w:val="000000"/>
                <w:kern w:val="0"/>
                <w:sz w:val="24"/>
                <w:szCs w:val="24"/>
              </w:rPr>
              <w:t>淇</w:t>
            </w:r>
            <w:proofErr w:type="gramEnd"/>
          </w:p>
        </w:tc>
        <w:tc>
          <w:tcPr>
            <w:tcW w:w="9355" w:type="dxa"/>
            <w:tcBorders>
              <w:top w:val="nil"/>
              <w:left w:val="nil"/>
              <w:bottom w:val="single" w:sz="4" w:space="0" w:color="auto"/>
              <w:right w:val="single" w:sz="4" w:space="0" w:color="auto"/>
            </w:tcBorders>
            <w:vAlign w:val="center"/>
          </w:tcPr>
          <w:p w14:paraId="11A2B4D0"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能源强国背景下“电力精神”融入</w:t>
            </w:r>
            <w:proofErr w:type="gramStart"/>
            <w:r>
              <w:rPr>
                <w:rFonts w:ascii="仿宋_GB2312" w:eastAsia="仿宋_GB2312" w:hAnsi="等线" w:cs="宋体" w:hint="eastAsia"/>
                <w:color w:val="000000"/>
                <w:kern w:val="0"/>
                <w:sz w:val="24"/>
                <w:szCs w:val="24"/>
              </w:rPr>
              <w:t>高校思政课程</w:t>
            </w:r>
            <w:proofErr w:type="gramEnd"/>
            <w:r>
              <w:rPr>
                <w:rFonts w:ascii="仿宋_GB2312" w:eastAsia="仿宋_GB2312" w:hAnsi="等线" w:cs="宋体" w:hint="eastAsia"/>
                <w:color w:val="000000"/>
                <w:kern w:val="0"/>
                <w:sz w:val="24"/>
                <w:szCs w:val="24"/>
              </w:rPr>
              <w:t>的路径创新研究</w:t>
            </w:r>
          </w:p>
        </w:tc>
        <w:tc>
          <w:tcPr>
            <w:tcW w:w="1985" w:type="dxa"/>
            <w:tcBorders>
              <w:top w:val="nil"/>
              <w:left w:val="nil"/>
              <w:bottom w:val="single" w:sz="4" w:space="0" w:color="auto"/>
              <w:right w:val="single" w:sz="4" w:space="0" w:color="auto"/>
            </w:tcBorders>
            <w:noWrap/>
            <w:vAlign w:val="center"/>
          </w:tcPr>
          <w:p w14:paraId="29FF57B8" w14:textId="77777777" w:rsidR="00CC38EE" w:rsidRDefault="00000000">
            <w:pPr>
              <w:widowControl/>
              <w:jc w:val="center"/>
              <w:rPr>
                <w:rFonts w:ascii="仿宋_GB2312" w:eastAsia="仿宋_GB2312" w:hAnsi="等线" w:cs="宋体" w:hint="eastAsia"/>
                <w:color w:val="000000"/>
                <w:kern w:val="0"/>
                <w:sz w:val="24"/>
                <w:szCs w:val="24"/>
              </w:rPr>
            </w:pPr>
            <w:r>
              <w:rPr>
                <w:rFonts w:ascii="仿宋_GB2312" w:eastAsia="仿宋_GB2312" w:hAnsi="等线" w:cs="宋体" w:hint="eastAsia"/>
                <w:color w:val="000000"/>
                <w:kern w:val="0"/>
                <w:sz w:val="24"/>
                <w:szCs w:val="24"/>
              </w:rPr>
              <w:t>SDSZ2520</w:t>
            </w:r>
          </w:p>
        </w:tc>
      </w:tr>
    </w:tbl>
    <w:p w14:paraId="36302BDB" w14:textId="77777777" w:rsidR="00CC38EE" w:rsidRDefault="00CC38EE">
      <w:pPr>
        <w:spacing w:line="360" w:lineRule="auto"/>
        <w:ind w:firstLineChars="200" w:firstLine="560"/>
        <w:jc w:val="right"/>
        <w:rPr>
          <w:rFonts w:ascii="仿宋_GB2312" w:eastAsia="仿宋_GB2312"/>
          <w:sz w:val="28"/>
          <w:szCs w:val="32"/>
        </w:rPr>
      </w:pPr>
    </w:p>
    <w:p w14:paraId="3644152F" w14:textId="77777777" w:rsidR="00CC38EE" w:rsidRDefault="00CC38EE" w:rsidP="00E0371C">
      <w:pPr>
        <w:widowControl/>
        <w:jc w:val="left"/>
        <w:rPr>
          <w:rFonts w:ascii="仿宋_GB2312" w:eastAsia="仿宋_GB2312" w:hint="eastAsia"/>
          <w:sz w:val="28"/>
          <w:szCs w:val="32"/>
        </w:rPr>
      </w:pPr>
    </w:p>
    <w:sectPr w:rsidR="00CC38EE" w:rsidSect="00E0371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3675B" w14:textId="77777777" w:rsidR="00C66D2C" w:rsidRDefault="00C66D2C" w:rsidP="00E0371C">
      <w:r>
        <w:separator/>
      </w:r>
    </w:p>
  </w:endnote>
  <w:endnote w:type="continuationSeparator" w:id="0">
    <w:p w14:paraId="20FBB4B1" w14:textId="77777777" w:rsidR="00C66D2C" w:rsidRDefault="00C66D2C" w:rsidP="00E03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951CF" w14:textId="77777777" w:rsidR="00C66D2C" w:rsidRDefault="00C66D2C" w:rsidP="00E0371C">
      <w:r>
        <w:separator/>
      </w:r>
    </w:p>
  </w:footnote>
  <w:footnote w:type="continuationSeparator" w:id="0">
    <w:p w14:paraId="736DAADC" w14:textId="77777777" w:rsidR="00C66D2C" w:rsidRDefault="00C66D2C" w:rsidP="00E037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F3E"/>
    <w:rsid w:val="00066217"/>
    <w:rsid w:val="000B564C"/>
    <w:rsid w:val="00157252"/>
    <w:rsid w:val="00224C29"/>
    <w:rsid w:val="00336EF4"/>
    <w:rsid w:val="003C78BE"/>
    <w:rsid w:val="003F4F6F"/>
    <w:rsid w:val="004B739B"/>
    <w:rsid w:val="004E6D46"/>
    <w:rsid w:val="005F01FA"/>
    <w:rsid w:val="006B4DB9"/>
    <w:rsid w:val="00772621"/>
    <w:rsid w:val="007A39FE"/>
    <w:rsid w:val="008D4805"/>
    <w:rsid w:val="00986934"/>
    <w:rsid w:val="00A82067"/>
    <w:rsid w:val="00AB2F4A"/>
    <w:rsid w:val="00B55918"/>
    <w:rsid w:val="00B87DD4"/>
    <w:rsid w:val="00C66D2C"/>
    <w:rsid w:val="00CC38EE"/>
    <w:rsid w:val="00D20ABF"/>
    <w:rsid w:val="00D23888"/>
    <w:rsid w:val="00D7271C"/>
    <w:rsid w:val="00D90B3E"/>
    <w:rsid w:val="00D916A7"/>
    <w:rsid w:val="00E0371C"/>
    <w:rsid w:val="00E23C44"/>
    <w:rsid w:val="00EC6F3E"/>
    <w:rsid w:val="00EF3E69"/>
    <w:rsid w:val="00F524DB"/>
    <w:rsid w:val="00FC74E9"/>
    <w:rsid w:val="21134116"/>
    <w:rsid w:val="3A0E29F3"/>
    <w:rsid w:val="6AB03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A6FE2"/>
  <w15:docId w15:val="{7DF962F8-6BB5-4589-9395-E33283E7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E74B5"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Subtitle"/>
    <w:basedOn w:val="a"/>
    <w:next w:val="a"/>
    <w:link w:val="aa"/>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b">
    <w:name w:val="Normal (Web)"/>
    <w:basedOn w:val="a"/>
    <w:uiPriority w:val="99"/>
    <w:semiHidden/>
    <w:unhideWhenUsed/>
    <w:qFormat/>
    <w:rPr>
      <w:rFonts w:ascii="Times New Roman" w:hAnsi="Times New Roman" w:cs="Times New Roman"/>
      <w:sz w:val="24"/>
      <w:szCs w:val="24"/>
    </w:rPr>
  </w:style>
  <w:style w:type="paragraph" w:styleId="ac">
    <w:name w:val="Title"/>
    <w:basedOn w:val="a"/>
    <w:next w:val="a"/>
    <w:link w:val="ad"/>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styleId="ae">
    <w:name w:val="Hyperlink"/>
    <w:basedOn w:val="a0"/>
    <w:uiPriority w:val="99"/>
    <w:unhideWhenUsed/>
    <w:qFormat/>
    <w:rPr>
      <w:color w:val="0563C1"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qFormat/>
    <w:rPr>
      <w:rFonts w:cstheme="majorBidi"/>
      <w:color w:val="2E74B5" w:themeColor="accent1" w:themeShade="BF"/>
      <w:sz w:val="28"/>
      <w:szCs w:val="28"/>
    </w:rPr>
  </w:style>
  <w:style w:type="character" w:customStyle="1" w:styleId="50">
    <w:name w:val="标题 5 字符"/>
    <w:basedOn w:val="a0"/>
    <w:link w:val="5"/>
    <w:uiPriority w:val="9"/>
    <w:semiHidden/>
    <w:qFormat/>
    <w:rPr>
      <w:rFonts w:cstheme="majorBidi"/>
      <w:color w:val="2E74B5" w:themeColor="accent1" w:themeShade="BF"/>
      <w:sz w:val="24"/>
      <w:szCs w:val="24"/>
    </w:rPr>
  </w:style>
  <w:style w:type="character" w:customStyle="1" w:styleId="60">
    <w:name w:val="标题 6 字符"/>
    <w:basedOn w:val="a0"/>
    <w:link w:val="6"/>
    <w:uiPriority w:val="9"/>
    <w:semiHidden/>
    <w:qFormat/>
    <w:rPr>
      <w:rFonts w:cstheme="majorBidi"/>
      <w:b/>
      <w:bCs/>
      <w:color w:val="2E74B5"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d">
    <w:name w:val="标题 字符"/>
    <w:basedOn w:val="a0"/>
    <w:link w:val="ac"/>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f">
    <w:name w:val="Quote"/>
    <w:basedOn w:val="a"/>
    <w:next w:val="a"/>
    <w:link w:val="af0"/>
    <w:uiPriority w:val="29"/>
    <w:qFormat/>
    <w:pPr>
      <w:spacing w:before="160" w:after="160"/>
      <w:jc w:val="center"/>
    </w:pPr>
    <w:rPr>
      <w:i/>
      <w:iCs/>
      <w:color w:val="404040" w:themeColor="text1" w:themeTint="BF"/>
    </w:rPr>
  </w:style>
  <w:style w:type="character" w:customStyle="1" w:styleId="af0">
    <w:name w:val="引用 字符"/>
    <w:basedOn w:val="a0"/>
    <w:link w:val="af"/>
    <w:uiPriority w:val="29"/>
    <w:qFormat/>
    <w:rPr>
      <w:i/>
      <w:iCs/>
      <w:color w:val="404040" w:themeColor="text1" w:themeTint="BF"/>
    </w:rPr>
  </w:style>
  <w:style w:type="paragraph" w:styleId="af1">
    <w:name w:val="List Paragraph"/>
    <w:basedOn w:val="a"/>
    <w:uiPriority w:val="34"/>
    <w:qFormat/>
    <w:pPr>
      <w:ind w:left="720"/>
      <w:contextualSpacing/>
    </w:pPr>
  </w:style>
  <w:style w:type="character" w:customStyle="1" w:styleId="11">
    <w:name w:val="明显强调1"/>
    <w:basedOn w:val="a0"/>
    <w:uiPriority w:val="21"/>
    <w:qFormat/>
    <w:rPr>
      <w:i/>
      <w:iCs/>
      <w:color w:val="2E74B5" w:themeColor="accent1" w:themeShade="BF"/>
    </w:rPr>
  </w:style>
  <w:style w:type="paragraph" w:styleId="af2">
    <w:name w:val="Intense Quote"/>
    <w:basedOn w:val="a"/>
    <w:next w:val="a"/>
    <w:link w:val="af3"/>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3">
    <w:name w:val="明显引用 字符"/>
    <w:basedOn w:val="a0"/>
    <w:link w:val="af2"/>
    <w:uiPriority w:val="30"/>
    <w:qFormat/>
    <w:rPr>
      <w:i/>
      <w:iCs/>
      <w:color w:val="2E74B5" w:themeColor="accent1" w:themeShade="BF"/>
    </w:rPr>
  </w:style>
  <w:style w:type="character" w:customStyle="1" w:styleId="12">
    <w:name w:val="明显参考1"/>
    <w:basedOn w:val="a0"/>
    <w:uiPriority w:val="32"/>
    <w:qFormat/>
    <w:rPr>
      <w:b/>
      <w:bCs/>
      <w:smallCaps/>
      <w:color w:val="2E74B5" w:themeColor="accent1" w:themeShade="BF"/>
      <w:spacing w:val="5"/>
    </w:rPr>
  </w:style>
  <w:style w:type="character" w:customStyle="1" w:styleId="13">
    <w:name w:val="未处理的提及1"/>
    <w:basedOn w:val="a0"/>
    <w:uiPriority w:val="99"/>
    <w:semiHidden/>
    <w:unhideWhenUsed/>
    <w:qFormat/>
    <w:rPr>
      <w:color w:val="605E5C"/>
      <w:shd w:val="clear" w:color="auto" w:fill="E1DFDD"/>
    </w:rPr>
  </w:style>
  <w:style w:type="character" w:customStyle="1" w:styleId="a4">
    <w:name w:val="日期 字符"/>
    <w:basedOn w:val="a0"/>
    <w:link w:val="a3"/>
    <w:uiPriority w:val="99"/>
    <w:semiHidden/>
    <w:qFormat/>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f4">
    <w:name w:val="Revision"/>
    <w:hidden/>
    <w:uiPriority w:val="99"/>
    <w:unhideWhenUsed/>
    <w:rsid w:val="00E0371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449</Words>
  <Characters>526</Characters>
  <Application>Microsoft Office Word</Application>
  <DocSecurity>0</DocSecurity>
  <Lines>47</Lines>
  <Paragraphs>64</Paragraphs>
  <ScaleCrop>false</ScaleCrop>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Dwyane</dc:creator>
  <cp:lastModifiedBy>King Dwyane</cp:lastModifiedBy>
  <cp:revision>2</cp:revision>
  <dcterms:created xsi:type="dcterms:W3CDTF">2026-07-09T07:31:00Z</dcterms:created>
  <dcterms:modified xsi:type="dcterms:W3CDTF">2026-07-09T07:31:00Z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eyJoZGlkIjoiNWE0MzBjMGFkMzJjZGM5NjQ4ZTU5MzlkNDk3MWY4MDciLCJ1c2VySWQiOiI0MTcyOTA3NDQifQ==</vt:lpwstr>
  </property>
  <property fmtid="{D5CDD505-2E9C-101B-9397-08002B2CF9AE}" pid="3" name="KSOProductBuildVer">
    <vt:lpwstr>2052-12.1.0.26375</vt:lpwstr>
  </property>
  <property fmtid="{D5CDD505-2E9C-101B-9397-08002B2CF9AE}" pid="4" name="ICV">
    <vt:lpwstr>EA46970F11C141019BA04E377916AE4C_13</vt:lpwstr>
  </property>
</Properties>
</file>